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4FD4" w14:textId="77777777" w:rsidR="00481142" w:rsidRPr="00481142" w:rsidRDefault="00481142" w:rsidP="00481142">
      <w:pPr>
        <w:pBdr>
          <w:bottom w:val="single" w:sz="12" w:space="3" w:color="006BB7"/>
        </w:pBdr>
        <w:shd w:val="clear" w:color="auto" w:fill="FFFFFF"/>
        <w:spacing w:after="9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aps/>
          <w:color w:val="3E8FFC"/>
          <w:sz w:val="24"/>
          <w:szCs w:val="24"/>
          <w:lang w:eastAsia="sk-SK"/>
        </w:rPr>
      </w:pPr>
      <w:r w:rsidRPr="00481142">
        <w:rPr>
          <w:rFonts w:ascii="Arial" w:eastAsia="Times New Roman" w:hAnsi="Arial" w:cs="Arial"/>
          <w:b/>
          <w:bCs/>
          <w:caps/>
          <w:color w:val="3E8FFC"/>
          <w:sz w:val="24"/>
          <w:szCs w:val="24"/>
          <w:lang w:eastAsia="sk-SK"/>
        </w:rPr>
        <w:t>OZNAMOVANIE PROTISPOLOČENSKEJ ČINNOSTI V PODMIENKACH MESTA TRNAVA</w:t>
      </w:r>
    </w:p>
    <w:p w14:paraId="51B35E38" w14:textId="7640CF82" w:rsidR="00481142" w:rsidRPr="00481142" w:rsidRDefault="00481142" w:rsidP="0033154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 xml:space="preserve">Podmienky poskytovania ochrany osobám v pracovnoprávnom vzťahu 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alebo v inom obdobnom vzťahu 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v súvislosti s oznamovaním kriminality alebo inej protispoločenskej činnosti upravuje z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ákon č. 54/2019 Z. z. o ochrane oznamovateľov protispoločenskej činnosti a o zmene a doplnení niektorých zákonov v znení neskorších predpisov</w:t>
      </w:r>
      <w:r w:rsidR="00AC319E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 xml:space="preserve">, nazývaný aj Zákon o </w:t>
      </w:r>
      <w:proofErr w:type="spellStart"/>
      <w:r w:rsidR="00AC319E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whistleblowingu</w:t>
      </w:r>
      <w:proofErr w:type="spellEnd"/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 xml:space="preserve"> (ďalej len „zákon“)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. 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Cieľom zákona je motivácia fyzických osôb oznamovať protispoločenskú činnosť, o ktorej sa  dozvedeli 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v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súvislosti so svojim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pracovnopr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á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vnym vzťahom alebo iným ob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do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bným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</w:t>
      </w:r>
      <w:r w:rsidR="00AC319E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vzťahom</w:t>
      </w:r>
      <w:r w:rsidR="0033154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.</w:t>
      </w:r>
    </w:p>
    <w:p w14:paraId="630652C3" w14:textId="3CC0C6B7" w:rsidR="0033154F" w:rsidRDefault="00481142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Zodpovednou osobou</w:t>
      </w:r>
      <w:r w:rsidR="0033154F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 xml:space="preserve">, ktorej sa podnet oznamuje a ktorá ho prešetruje, 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je podľa § 10 ods. 1 zákona hlavn</w:t>
      </w:r>
      <w:r w:rsidR="0033154F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á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 xml:space="preserve"> kontrolór</w:t>
      </w:r>
      <w:r w:rsidR="0033154F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ka mesta Trnava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:</w:t>
      </w:r>
    </w:p>
    <w:p w14:paraId="45BDE873" w14:textId="23C47AD9" w:rsidR="00D72237" w:rsidRPr="005A2892" w:rsidRDefault="00481142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Ing. Monika Černayová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674439"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Oznámenie skutočností týkajúcich sa protispoločenskej činnosti prípadne závažnej protispoločenskej činnosti možno podať v podmienkach mesta Trnava</w:t>
      </w:r>
      <w:r w:rsidR="00D72237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:</w:t>
      </w:r>
      <w:r w:rsidR="00674439"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674439"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1.    </w:t>
      </w:r>
      <w:r w:rsidR="00674439"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Písomne</w:t>
      </w:r>
      <w:r w:rsidR="00674439"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:</w:t>
      </w:r>
    </w:p>
    <w:p w14:paraId="7510FE3B" w14:textId="6BC57798" w:rsidR="00D72237" w:rsidRPr="00D72237" w:rsidRDefault="00D72237" w:rsidP="00D7223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D72237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na adresu: mesto Trnava </w:t>
      </w:r>
    </w:p>
    <w:p w14:paraId="3FF88639" w14:textId="5B37EE8A" w:rsidR="00D72237" w:rsidRDefault="00D72237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                               hlavná kontrolórka mesta</w:t>
      </w:r>
    </w:p>
    <w:p w14:paraId="2C8B90A3" w14:textId="4D1E8494" w:rsidR="00D72237" w:rsidRDefault="00D72237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                               Hlavná 1</w:t>
      </w:r>
    </w:p>
    <w:p w14:paraId="2F450275" w14:textId="0B7F98EC" w:rsidR="00D72237" w:rsidRDefault="00D72237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                               917 01 Trnava</w:t>
      </w:r>
    </w:p>
    <w:p w14:paraId="4537B311" w14:textId="77777777" w:rsidR="00AF19E6" w:rsidRDefault="00674439" w:rsidP="00AF19E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D72237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do podateľne MsÚ alebo na sekretariáte primátora</w:t>
      </w:r>
    </w:p>
    <w:p w14:paraId="706AF30A" w14:textId="75BED7E2" w:rsidR="00AF19E6" w:rsidRDefault="00AF19E6" w:rsidP="00AF19E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písomné oznámenie sa podáva v uzatvorenej obálke s označením „Neotvárať – INTERNE CHRÁNENÉ – do rúk hlavnej kontrolórky mesta“</w:t>
      </w:r>
    </w:p>
    <w:p w14:paraId="5C37F5CA" w14:textId="77FB5BE5" w:rsidR="00D72237" w:rsidRPr="00AF19E6" w:rsidRDefault="00674439" w:rsidP="0033154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vhodením písomného oznámenia do schránky s označením „Oznámenie o protispoločenskej činnosti“, ktorá je umiestnená na </w:t>
      </w:r>
      <w:r w:rsid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R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adnici, Hlavná 1</w:t>
      </w:r>
      <w:r w:rsid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,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Trnava, na chodbe na 2. poschodí; schránku vyberá hlavn</w:t>
      </w:r>
      <w:r w:rsidR="00D72237"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á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kontrolór</w:t>
      </w:r>
      <w:r w:rsidR="00D72237"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ka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</w:t>
      </w:r>
    </w:p>
    <w:p w14:paraId="2C42CEA7" w14:textId="0B0E4279" w:rsidR="00AF19E6" w:rsidRDefault="00674439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2.    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Ústne:</w:t>
      </w:r>
    </w:p>
    <w:p w14:paraId="2BDC3E1A" w14:textId="77777777" w:rsidR="00AF19E6" w:rsidRDefault="00AF19E6" w:rsidP="00AF19E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oznamovateľ môže požiadať o osobné stretnutie</w:t>
      </w:r>
    </w:p>
    <w:p w14:paraId="34B33BCD" w14:textId="77777777" w:rsidR="00AF19E6" w:rsidRDefault="00AF19E6" w:rsidP="00AF19E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v pracovných dňoch a v pracovnom čase osobne 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v kancelárii hlavnej kontrolórky</w:t>
      </w:r>
    </w:p>
    <w:p w14:paraId="4B854555" w14:textId="2A4D306F" w:rsidR="00AF19E6" w:rsidRPr="00F137CA" w:rsidRDefault="00AF19E6" w:rsidP="0033154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hlavná kontrolórka vyhotoví zápisnicu o ústnom oznámení</w:t>
      </w:r>
      <w:r w:rsidR="00674439"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</w:p>
    <w:p w14:paraId="46FD093A" w14:textId="3FDBD2F6" w:rsidR="00AF19E6" w:rsidRDefault="00674439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3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.    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E-mailom:</w:t>
      </w:r>
    </w:p>
    <w:p w14:paraId="238655A3" w14:textId="46943C58" w:rsidR="00674439" w:rsidRPr="00AF19E6" w:rsidRDefault="00674439" w:rsidP="00AF19E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oznámenie v elektronickej podobe je možné uskutočniť zaslaním oznámenia na e-mailovú adresu </w:t>
      </w:r>
      <w:hyperlink r:id="rId5" w:history="1">
        <w:r w:rsidRPr="00AF19E6">
          <w:rPr>
            <w:rFonts w:ascii="inherit" w:eastAsia="Times New Roman" w:hAnsi="inherit" w:cs="Arial"/>
            <w:color w:val="065CAA"/>
            <w:sz w:val="18"/>
            <w:szCs w:val="18"/>
            <w:u w:val="single"/>
            <w:bdr w:val="none" w:sz="0" w:space="0" w:color="auto" w:frame="1"/>
            <w:lang w:eastAsia="sk-SK"/>
          </w:rPr>
          <w:t>kontrola@trnava.sk</w:t>
        </w:r>
      </w:hyperlink>
      <w:r w:rsid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, ktorá je dostupná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nepretržite 24 hodín </w:t>
      </w:r>
      <w:r w:rsid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denne a prístupná iba hlavnej kontrolórke</w:t>
      </w:r>
      <w:r w:rsidRPr="00AF19E6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</w:p>
    <w:p w14:paraId="786C8026" w14:textId="342F3C11" w:rsidR="00674439" w:rsidRDefault="00F137CA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F137CA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Oznámenie je 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možné podať aj anonymne. </w:t>
      </w:r>
    </w:p>
    <w:p w14:paraId="13202521" w14:textId="77777777" w:rsidR="000D29FC" w:rsidRPr="00F137CA" w:rsidRDefault="000D29FC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7349523F" w14:textId="77777777" w:rsidR="00674439" w:rsidRDefault="00674439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</w:p>
    <w:p w14:paraId="13C4FE18" w14:textId="77777777" w:rsidR="00690503" w:rsidRDefault="00481142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Kontaktné údaje</w:t>
      </w:r>
      <w:r w:rsidR="00F137CA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 xml:space="preserve"> hlavnej kontrolórky mesta</w:t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: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 xml:space="preserve">adresa pracoviska: Hlavná 1 (budova 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R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adnice)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917 01 Trnava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2. poschodie, č. dv. R 35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telefonický kontakt: 32 36 313, 0905 816 550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 xml:space="preserve">e-mail:  </w:t>
      </w:r>
      <w:hyperlink r:id="rId6" w:history="1">
        <w:r w:rsidRPr="00481142">
          <w:rPr>
            <w:rFonts w:ascii="inherit" w:eastAsia="Times New Roman" w:hAnsi="inherit" w:cs="Arial"/>
            <w:color w:val="065CAA"/>
            <w:sz w:val="18"/>
            <w:szCs w:val="18"/>
            <w:u w:val="single"/>
            <w:bdr w:val="none" w:sz="0" w:space="0" w:color="auto" w:frame="1"/>
            <w:lang w:eastAsia="sk-SK"/>
          </w:rPr>
          <w:t>kontrola@trnava.sk</w:t>
        </w:r>
      </w:hyperlink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</w:p>
    <w:p w14:paraId="000E5597" w14:textId="48843A7F" w:rsidR="003950E5" w:rsidRDefault="00481142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Hlavn</w:t>
      </w:r>
      <w:r w:rsidR="000D29FC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á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kontrolór</w:t>
      </w:r>
      <w:r w:rsidR="000D29FC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ka je povinná prijať</w:t>
      </w:r>
      <w:r w:rsidR="003950E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každé oznámenie podané</w:t>
      </w:r>
      <w:r w:rsidR="000D29FC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</w:t>
      </w:r>
      <w:r w:rsidR="003950E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v zmysle zákona, preveriť ho a oznámiť oznamovateľovi výsledok preverenia do 90 dní od potvrdenia prijatia oznámenia alebo ak sa prijatie oznámenia nepotvrdilo (anonymné oznámenie), do 90 dní od uplynutia 7 dní od prijatia oznámenia. </w:t>
      </w:r>
    </w:p>
    <w:p w14:paraId="257C77D9" w14:textId="6E0D71CF" w:rsidR="002900C5" w:rsidRDefault="00481142" w:rsidP="003315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481142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Oznamovateľom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 je v zmysle § 2 písm. a) zákona: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- </w:t>
      </w:r>
      <w:r w:rsidRPr="00481142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 fyzická osoba, ktorá v dobrej viere urobí oznámenie orgánu príslušnému na prijatie oznámenia, </w:t>
      </w:r>
      <w:r w:rsid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alebo zamestnávateľovi, za oznamovateľa sa považuje aj fyzická osoba, ktorá v dobrej viere</w:t>
      </w:r>
    </w:p>
    <w:p w14:paraId="69E4A486" w14:textId="3ADCC874" w:rsidR="00BF11F5" w:rsidRPr="00BF11F5" w:rsidRDefault="00BF11F5" w:rsidP="002900C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urobí oznámenie a jej pracovnoprávny vzťah alebo iný obdobný vzťah  sa skončil, ak sa dozvedela informácie o protispoločenskej činnosti počas trvania tohto pracovnoprávneho vzťahu alebo iného obdobného vzťahu,</w:t>
      </w:r>
    </w:p>
    <w:p w14:paraId="71B4A9A3" w14:textId="77777777" w:rsidR="00BF11F5" w:rsidRPr="00BF11F5" w:rsidRDefault="00BF11F5" w:rsidP="002900C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lastRenderedPageBreak/>
        <w:t>urobí oznámenie a jej pracovnoprávny vzťah alebo iný obdobný vzťah ešte nevznikol, ak sa dozvedela informácie o protispoločenskej činnosti počas výberového konania alebo v rámci predzmluvných vzťahov,</w:t>
      </w:r>
    </w:p>
    <w:p w14:paraId="4FD8EAB2" w14:textId="77777777" w:rsidR="00BF11F5" w:rsidRPr="00BF11F5" w:rsidRDefault="00BF11F5" w:rsidP="002900C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urobila oznámenie anonymne a jej totožnosť bola odhalená,</w:t>
      </w:r>
    </w:p>
    <w:p w14:paraId="42C75B13" w14:textId="77777777" w:rsidR="00BF11F5" w:rsidRPr="00BF11F5" w:rsidRDefault="00BF11F5" w:rsidP="002900C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zverejnila informácie o protispoločenskej činnosti, ktoré sa dozvedela počas výberového konania alebo predzmluvných vzťahov a jej pracovnoprávny vzťah alebo iný obdobný vzťah ešte nevznikol alebo počas trvania pracovnoprávneho vzťahu alebo iného obdobného vzťahu alebo po skončení pracovnoprávneho alebo iného obdobného vzťahu z dôvodu, že :</w:t>
      </w:r>
    </w:p>
    <w:p w14:paraId="7A2BD65D" w14:textId="77777777" w:rsidR="00BF11F5" w:rsidRDefault="00BF11F5" w:rsidP="00BF11F5">
      <w:pPr>
        <w:pStyle w:val="Odsekzoznamu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4a) urobila oznámenie prostredníctvom vnútorného systému preverovania oznámení a nebola oboznámená s výsledkom preverenia podľa § 10 ods. 8, alebo neboli prijaté vhodné opatrenia podľa § 10 ods. 8 a následne urobila takéto oznámenie orgánu príslušnému na prijatie oznámenia a nebola v primeranej lehote oboznámená so stavom preverovania alebo s výsledkom preverenia,</w:t>
      </w:r>
    </w:p>
    <w:p w14:paraId="1609CF37" w14:textId="1CC018B9" w:rsidR="00BF11F5" w:rsidRDefault="00BF11F5" w:rsidP="00BF11F5">
      <w:pPr>
        <w:pStyle w:val="Odsekzoznamu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4b) urobila oznámenie orgánu príslušnému na prijatie oznámenia a nebola v primeranej lehote oboznámená so stavom preverovania alebo s výsledkom preverenia,</w:t>
      </w:r>
    </w:p>
    <w:p w14:paraId="40934DD9" w14:textId="77777777" w:rsidR="00145705" w:rsidRDefault="00BF11F5" w:rsidP="00BF11F5">
      <w:pPr>
        <w:pStyle w:val="Odsekzoznamu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4c) je dôvodná obava, že protispoločenská činnosť môže predstavovať</w:t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bezprostredné alebo zjavné ohrozenie verejného záujmu, alebo</w:t>
      </w:r>
    </w:p>
    <w:p w14:paraId="56A8176C" w14:textId="77777777" w:rsidR="00145705" w:rsidRDefault="00145705" w:rsidP="00BF11F5">
      <w:pPr>
        <w:pStyle w:val="Odsekzoznamu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4d) je dôvodná obava, že v prípade urobenia oznámenia orgánu príslušnému na prijatie oznámenia by jej hrozil postih alebo vzhľadom na konkrétne okolnosti prípadu hrozí, že orgány na prijatie oznámenia nezabezpečia nestranné a nezávislé preverenie skutočností uvedených v oznámení.</w:t>
      </w:r>
    </w:p>
    <w:p w14:paraId="135C56BF" w14:textId="77777777" w:rsidR="00145705" w:rsidRDefault="00145705" w:rsidP="00BF11F5">
      <w:pPr>
        <w:pStyle w:val="Odsekzoznamu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0A6C3E3C" w14:textId="7E2FE996" w:rsidR="00145705" w:rsidRDefault="00145705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O</w:t>
      </w:r>
      <w:r w:rsidR="00481142" w:rsidRPr="002900C5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známením </w:t>
      </w:r>
      <w:r w:rsidR="00481142"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je 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v zmysle § 2 písm. b) zákona uvedenie skutočností, </w:t>
      </w:r>
      <w:r w:rsidR="00481142"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 ktorých sa fyzická osoba dozvedela v súvislosti s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 pracovnoprávnym vzťahom alebo iným obdobným vzťahom a ktoré sa týkajú protispoločenskej činnosti.</w:t>
      </w:r>
    </w:p>
    <w:p w14:paraId="03971A67" w14:textId="77777777" w:rsidR="00145705" w:rsidRDefault="00145705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749F80F1" w14:textId="2F800EF0" w:rsidR="00145705" w:rsidRDefault="00481142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2900C5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Závažnou protispoločenskou činnosťou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 sa podľa § 2 písm. d) zákona rozumie: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-  </w:t>
      </w:r>
      <w:r w:rsidRPr="00395907">
        <w:rPr>
          <w:rFonts w:ascii="Arial" w:eastAsia="Times New Roman" w:hAnsi="Arial" w:cs="Arial"/>
          <w:sz w:val="18"/>
          <w:szCs w:val="18"/>
          <w:lang w:eastAsia="sk-SK"/>
        </w:rPr>
        <w:t>trestn</w:t>
      </w:r>
      <w:r w:rsidR="00145705" w:rsidRPr="00395907">
        <w:rPr>
          <w:rFonts w:ascii="Arial" w:eastAsia="Times New Roman" w:hAnsi="Arial" w:cs="Arial"/>
          <w:sz w:val="18"/>
          <w:szCs w:val="18"/>
          <w:lang w:eastAsia="sk-SK"/>
        </w:rPr>
        <w:t>é činy</w:t>
      </w:r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 xml:space="preserve"> podľa </w:t>
      </w:r>
      <w:hyperlink r:id="rId7" w:anchor="paragraf-168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168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8" w:anchor="paragraf-170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170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9" w:anchor="paragraf-170b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170b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0" w:anchor="paragraf-177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177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1" w:anchor="paragraf-212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212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anchor="paragraf-213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213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3" w:anchor="paragraf-217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217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4" w:anchor="paragraf-221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221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5" w:anchor="paragraf-226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226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6" w:anchor="paragraf-233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233a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7" w:anchor="paragraf-237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237 až 240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8" w:anchor="paragraf-243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243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9" w:anchor="paragraf-243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243a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0" w:anchor="paragraf-247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247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1" w:anchor="paragraf-247d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247d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2" w:anchor="paragraf-251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251a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3" w:anchor="paragraf-252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252 až 254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4" w:anchor="paragraf-261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261 až 263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5" w:anchor="paragraf-266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266 až 268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6" w:anchor="paragraf-271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271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7" w:anchor="paragraf-278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278a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8" w:anchor="paragraf-283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283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29" w:anchor="paragraf-299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299a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0" w:anchor="paragraf-302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302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1" w:anchor="paragraf-305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305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2" w:anchor="paragraf-326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326 až 327a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3" w:anchor="paragraf-328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328 až 336b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4" w:anchor="paragraf-336d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336d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5" w:anchor="paragraf-348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348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36" w:anchor="paragraf-352a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352a</w:t>
        </w:r>
      </w:hyperlink>
      <w:r w:rsidR="00145705" w:rsidRPr="00395907">
        <w:rPr>
          <w:rFonts w:ascii="Arial" w:hAnsi="Arial" w:cs="Arial"/>
          <w:sz w:val="18"/>
          <w:szCs w:val="18"/>
          <w:shd w:val="clear" w:color="auto" w:fill="FFFFFF"/>
        </w:rPr>
        <w:t> alebo </w:t>
      </w:r>
      <w:hyperlink r:id="rId37" w:anchor="paragraf-374" w:tooltip="Odkaz na predpis alebo ustanovenie" w:history="1">
        <w:r w:rsidR="00145705" w:rsidRPr="00395907">
          <w:rPr>
            <w:rStyle w:val="Hypertextovprepojenie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§ 374</w:t>
        </w:r>
      </w:hyperlink>
      <w:r w:rsidR="00145705" w:rsidRPr="00395907">
        <w:rPr>
          <w:rFonts w:ascii="Arial" w:hAnsi="Arial" w:cs="Arial"/>
          <w:color w:val="494949"/>
          <w:sz w:val="18"/>
          <w:szCs w:val="18"/>
          <w:shd w:val="clear" w:color="auto" w:fill="FFFFFF"/>
        </w:rPr>
        <w:t> Trestného</w:t>
      </w:r>
      <w:r w:rsidR="00145705" w:rsidRPr="00145705">
        <w:rPr>
          <w:rFonts w:ascii="Arial" w:hAnsi="Arial" w:cs="Arial"/>
          <w:color w:val="494949"/>
          <w:sz w:val="18"/>
          <w:szCs w:val="18"/>
          <w:shd w:val="clear" w:color="auto" w:fill="FFFFFF"/>
        </w:rPr>
        <w:t xml:space="preserve"> zákona</w:t>
      </w:r>
      <w:r w:rsidR="00145705"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>,</w:t>
      </w:r>
      <w:r w:rsidR="00395907"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- 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trestný čin, za ktorý Trestný zákon ustanovuje trest odňatia slobody s hornou hranicou trestnej sadzby prevyšujúcou </w:t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dva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roky,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- 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správny delikt, za ktorý možno uložiť pokutu s hornou hranicou určenou výpočtom, alebo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="0014570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- 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správny delikt, za ktorý možno uložiť pokutu s hornou hranicou vo výške najmenej 30 000 eur,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</w:p>
    <w:p w14:paraId="15B50D59" w14:textId="77777777" w:rsidR="00145705" w:rsidRDefault="00145705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3B2FDFEE" w14:textId="3D79AC86" w:rsidR="00145705" w:rsidRDefault="00145705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S odkazom na </w:t>
      </w:r>
      <w:proofErr w:type="spellStart"/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ust</w:t>
      </w:r>
      <w:proofErr w:type="spellEnd"/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. § 3 písm. b) a c) zákona č. 583/2008 Z. z. o prevencii kriminality a inej protispoločenskej činnosti a o zmene a doplnení niektorých zákonov v znení neskorších predpisov možno pod pojmom</w:t>
      </w:r>
      <w:r w:rsidRPr="002900C5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 protispoločenská činnosť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 rozumieť: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•    konanie, ktoré je trestným činom, alebo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•    konanie, ktoré je priestupkom alebo správnym deliktom, alebo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  <w:t>•    iné konanie, ktoré nie je priestupkom alebo iným správnym deliktom, ale pôsobí negatívne na spoločnosť (napr. diskriminácia, šikana, obťažovanie,...).</w:t>
      </w:r>
      <w:r w:rsidRPr="002900C5">
        <w:rPr>
          <w:rFonts w:ascii="Arial" w:eastAsia="Times New Roman" w:hAnsi="Arial" w:cs="Arial"/>
          <w:color w:val="424242"/>
          <w:sz w:val="18"/>
          <w:szCs w:val="18"/>
          <w:lang w:eastAsia="sk-SK"/>
        </w:rPr>
        <w:br/>
      </w:r>
    </w:p>
    <w:p w14:paraId="7FDC73F5" w14:textId="2EA1BB35" w:rsidR="00395907" w:rsidRDefault="00395907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Odvetné opatrenia voči oznamovateľovi sú zakázané.</w:t>
      </w:r>
    </w:p>
    <w:p w14:paraId="14273E90" w14:textId="77777777" w:rsidR="00F1267A" w:rsidRDefault="00F1267A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168946D0" w14:textId="2137F690" w:rsidR="00F1267A" w:rsidRDefault="00F1267A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Zákon upravuje </w:t>
      </w:r>
      <w:r w:rsidRPr="00F1267A"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  <w:t>možnosti ochrany oznamovateľov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:</w:t>
      </w:r>
    </w:p>
    <w:p w14:paraId="4C84B018" w14:textId="6FBA1BA4" w:rsidR="006279AF" w:rsidRDefault="006279AF" w:rsidP="00F126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51C35571" w14:textId="0EAE339C" w:rsidR="00F1267A" w:rsidRDefault="00A228F4" w:rsidP="00F1267A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§ 3 zákona upravuje poskytnutie ochrany oznamovateľovi v prípade, keď podal oznámenie o závažnej protispoločenskej činnosti, ktorá je trestným činom, žiadosť o poskytnutie ochrany môže oznamovateľ podať zároveň s oznámením alebo počas trestného konania, žiadosť sa podáva prokurátorovi písomne alebo ústne do zápisnice</w:t>
      </w:r>
      <w:r w:rsidR="00BC3DAB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,</w:t>
      </w:r>
    </w:p>
    <w:p w14:paraId="32B6BCFF" w14:textId="4BFE9BE6" w:rsidR="00A228F4" w:rsidRDefault="00A228F4" w:rsidP="00F1267A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§ 5 zákona upravuje poskytnutie ochrany oznamovateľovi v prípade, ak podal oznámenie o správnom delikte</w:t>
      </w:r>
      <w:r w:rsidR="00882493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správnemu orgánu, žiadosť o poskytnutie ochrany môže oznamovateľ podať zároveň s oznámením alebo počas konania o správnom delikte, žiadosť sa podáva orgánu, ktorý je príslušný na konanie o správnom delikte písomne alebo ústne do zápisnice</w:t>
      </w:r>
      <w:r w:rsidR="00BC3DAB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,</w:t>
      </w:r>
    </w:p>
    <w:p w14:paraId="0DB98EE6" w14:textId="2E0273F2" w:rsidR="00882493" w:rsidRPr="00F1267A" w:rsidRDefault="00882493" w:rsidP="00F1267A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§ 12 zákona upravuje možnosť ochrany oznamovateľa, ktorá spočíva v možnosti Úradu na ochranu oznamovateľov</w:t>
      </w:r>
      <w:r w:rsidR="00BC3DAB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(ďalej len „Úrad“)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 pozastaviť účinnosť pracovnoprávneho úkonu voči oznamovateľovi, ak je dôvodné podozrenie, že bol takýto úkon urobený v súvislosti s</w:t>
      </w:r>
      <w:r w:rsidR="00BC3DAB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 </w:t>
      </w:r>
      <w:r>
        <w:rPr>
          <w:rFonts w:ascii="Arial" w:eastAsia="Times New Roman" w:hAnsi="Arial" w:cs="Arial"/>
          <w:color w:val="424242"/>
          <w:sz w:val="18"/>
          <w:szCs w:val="18"/>
          <w:lang w:eastAsia="sk-SK"/>
        </w:rPr>
        <w:t>oznáme</w:t>
      </w:r>
      <w:r w:rsidR="00BC3DAB">
        <w:rPr>
          <w:rFonts w:ascii="Arial" w:eastAsia="Times New Roman" w:hAnsi="Arial" w:cs="Arial"/>
          <w:color w:val="424242"/>
          <w:sz w:val="18"/>
          <w:szCs w:val="18"/>
          <w:lang w:eastAsia="sk-SK"/>
        </w:rPr>
        <w:t>ním, oznamovateľ môže požiadať Úrad o pozastavenie účinnosti tohto pracovnoprávneho úkonu do 15 dní odo dňa, keď sa o ňom dozvedel</w:t>
      </w:r>
    </w:p>
    <w:p w14:paraId="57190487" w14:textId="77777777" w:rsidR="00F1267A" w:rsidRDefault="00F1267A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29EAD385" w14:textId="30C167E3" w:rsidR="006279AF" w:rsidRDefault="006279AF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24242"/>
          <w:sz w:val="18"/>
          <w:szCs w:val="18"/>
          <w:lang w:eastAsia="sk-SK"/>
        </w:rPr>
      </w:pPr>
    </w:p>
    <w:p w14:paraId="69325AE4" w14:textId="064EC2BF" w:rsidR="00481142" w:rsidRPr="006279AF" w:rsidRDefault="00145705" w:rsidP="00145705">
      <w:pPr>
        <w:pStyle w:val="Odsekzoznamu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424242"/>
          <w:sz w:val="18"/>
          <w:szCs w:val="18"/>
          <w:lang w:eastAsia="sk-SK"/>
        </w:rPr>
      </w:pPr>
      <w:r w:rsidRPr="006279A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Hlavná kontrolórka </w:t>
      </w:r>
      <w:r w:rsidR="00481142" w:rsidRPr="006279A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je povinná </w:t>
      </w:r>
      <w:r w:rsidR="00395907" w:rsidRPr="006279AF">
        <w:rPr>
          <w:rFonts w:ascii="Arial" w:eastAsia="Times New Roman" w:hAnsi="Arial" w:cs="Arial"/>
          <w:color w:val="424242"/>
          <w:sz w:val="18"/>
          <w:szCs w:val="18"/>
          <w:lang w:eastAsia="sk-SK"/>
        </w:rPr>
        <w:t xml:space="preserve">zachovávať mlčanlivosť o totožnosti oznamovateľa oznámenia, toho proti komu smeruje a o skutočnostiach, o ktorých sa dozvedela pri prijímaní a preverovaní oznámení. </w:t>
      </w:r>
    </w:p>
    <w:p w14:paraId="7D8806CE" w14:textId="77777777" w:rsidR="00BC3DAB" w:rsidRDefault="00BC3DAB">
      <w:pPr>
        <w:rPr>
          <w:rFonts w:ascii="Arial" w:hAnsi="Arial" w:cs="Arial"/>
          <w:sz w:val="18"/>
          <w:szCs w:val="18"/>
        </w:rPr>
      </w:pPr>
    </w:p>
    <w:p w14:paraId="26D943B7" w14:textId="2F26C609" w:rsidR="006279AF" w:rsidRPr="006279AF" w:rsidRDefault="006279AF">
      <w:pPr>
        <w:rPr>
          <w:rFonts w:ascii="Arial" w:hAnsi="Arial" w:cs="Arial"/>
          <w:sz w:val="18"/>
          <w:szCs w:val="18"/>
        </w:rPr>
      </w:pPr>
      <w:r w:rsidRPr="006279AF">
        <w:rPr>
          <w:rFonts w:ascii="Arial" w:hAnsi="Arial" w:cs="Arial"/>
          <w:sz w:val="18"/>
          <w:szCs w:val="18"/>
        </w:rPr>
        <w:t>Podrobnosti pri oznamovaní a preverovaní oznámení o protispoločenskej činnosti obsahuje nasledovný dokument:</w:t>
      </w:r>
    </w:p>
    <w:sectPr w:rsidR="006279AF" w:rsidRPr="0062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A99"/>
    <w:multiLevelType w:val="hybridMultilevel"/>
    <w:tmpl w:val="14EAB7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C37"/>
    <w:multiLevelType w:val="hybridMultilevel"/>
    <w:tmpl w:val="E7E87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38C"/>
    <w:multiLevelType w:val="hybridMultilevel"/>
    <w:tmpl w:val="4516D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7253B"/>
    <w:multiLevelType w:val="hybridMultilevel"/>
    <w:tmpl w:val="C966F432"/>
    <w:lvl w:ilvl="0" w:tplc="CF6AB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632C"/>
    <w:multiLevelType w:val="hybridMultilevel"/>
    <w:tmpl w:val="C938F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C0B7F"/>
    <w:multiLevelType w:val="hybridMultilevel"/>
    <w:tmpl w:val="783C2F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16B7"/>
    <w:multiLevelType w:val="hybridMultilevel"/>
    <w:tmpl w:val="651E9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7029">
    <w:abstractNumId w:val="0"/>
  </w:num>
  <w:num w:numId="2" w16cid:durableId="826214337">
    <w:abstractNumId w:val="2"/>
  </w:num>
  <w:num w:numId="3" w16cid:durableId="279654095">
    <w:abstractNumId w:val="5"/>
  </w:num>
  <w:num w:numId="4" w16cid:durableId="663628759">
    <w:abstractNumId w:val="1"/>
  </w:num>
  <w:num w:numId="5" w16cid:durableId="1629698958">
    <w:abstractNumId w:val="6"/>
  </w:num>
  <w:num w:numId="6" w16cid:durableId="574556058">
    <w:abstractNumId w:val="4"/>
  </w:num>
  <w:num w:numId="7" w16cid:durableId="39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2"/>
    <w:rsid w:val="000D29FC"/>
    <w:rsid w:val="00145705"/>
    <w:rsid w:val="002900C5"/>
    <w:rsid w:val="0033154F"/>
    <w:rsid w:val="003950E5"/>
    <w:rsid w:val="00395907"/>
    <w:rsid w:val="00481142"/>
    <w:rsid w:val="005A2892"/>
    <w:rsid w:val="006279AF"/>
    <w:rsid w:val="00674439"/>
    <w:rsid w:val="00690503"/>
    <w:rsid w:val="00882493"/>
    <w:rsid w:val="00980E28"/>
    <w:rsid w:val="00A228F4"/>
    <w:rsid w:val="00AC319E"/>
    <w:rsid w:val="00AF19E6"/>
    <w:rsid w:val="00AF5255"/>
    <w:rsid w:val="00BC3DAB"/>
    <w:rsid w:val="00BF11F5"/>
    <w:rsid w:val="00CD5D74"/>
    <w:rsid w:val="00D72237"/>
    <w:rsid w:val="00E51A91"/>
    <w:rsid w:val="00E73576"/>
    <w:rsid w:val="00F1267A"/>
    <w:rsid w:val="00F137CA"/>
    <w:rsid w:val="00F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6F74"/>
  <w15:chartTrackingRefBased/>
  <w15:docId w15:val="{137F3D1A-AE12-479E-B68F-1EEC88C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5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45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30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5/300/" TargetMode="External"/><Relationship Id="rId18" Type="http://schemas.openxmlformats.org/officeDocument/2006/relationships/hyperlink" Target="https://www.slov-lex.sk/pravne-predpisy/SK/ZZ/2005/300/" TargetMode="External"/><Relationship Id="rId26" Type="http://schemas.openxmlformats.org/officeDocument/2006/relationships/hyperlink" Target="https://www.slov-lex.sk/pravne-predpisy/SK/ZZ/2005/300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lov-lex.sk/pravne-predpisy/SK/ZZ/2005/300/" TargetMode="External"/><Relationship Id="rId34" Type="http://schemas.openxmlformats.org/officeDocument/2006/relationships/hyperlink" Target="https://www.slov-lex.sk/pravne-predpisy/SK/ZZ/2005/300/" TargetMode="External"/><Relationship Id="rId7" Type="http://schemas.openxmlformats.org/officeDocument/2006/relationships/hyperlink" Target="https://www.slov-lex.sk/pravne-predpisy/SK/ZZ/2005/300/" TargetMode="External"/><Relationship Id="rId12" Type="http://schemas.openxmlformats.org/officeDocument/2006/relationships/hyperlink" Target="https://www.slov-lex.sk/pravne-predpisy/SK/ZZ/2005/300/" TargetMode="External"/><Relationship Id="rId17" Type="http://schemas.openxmlformats.org/officeDocument/2006/relationships/hyperlink" Target="https://www.slov-lex.sk/pravne-predpisy/SK/ZZ/2005/300/" TargetMode="External"/><Relationship Id="rId25" Type="http://schemas.openxmlformats.org/officeDocument/2006/relationships/hyperlink" Target="https://www.slov-lex.sk/pravne-predpisy/SK/ZZ/2005/300/" TargetMode="External"/><Relationship Id="rId33" Type="http://schemas.openxmlformats.org/officeDocument/2006/relationships/hyperlink" Target="https://www.slov-lex.sk/pravne-predpisy/SK/ZZ/2005/30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5/300/" TargetMode="External"/><Relationship Id="rId20" Type="http://schemas.openxmlformats.org/officeDocument/2006/relationships/hyperlink" Target="https://www.slov-lex.sk/pravne-predpisy/SK/ZZ/2005/300/" TargetMode="External"/><Relationship Id="rId29" Type="http://schemas.openxmlformats.org/officeDocument/2006/relationships/hyperlink" Target="https://www.slov-lex.sk/pravne-predpisy/SK/ZZ/2005/300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location.href='mailto:'+String.fromCharCode(107,111,110,116,114,111,108,97,64,116,114,110,97,118,97,46,115,107))" TargetMode="External"/><Relationship Id="rId11" Type="http://schemas.openxmlformats.org/officeDocument/2006/relationships/hyperlink" Target="https://www.slov-lex.sk/pravne-predpisy/SK/ZZ/2005/300/" TargetMode="External"/><Relationship Id="rId24" Type="http://schemas.openxmlformats.org/officeDocument/2006/relationships/hyperlink" Target="https://www.slov-lex.sk/pravne-predpisy/SK/ZZ/2005/300/" TargetMode="External"/><Relationship Id="rId32" Type="http://schemas.openxmlformats.org/officeDocument/2006/relationships/hyperlink" Target="https://www.slov-lex.sk/pravne-predpisy/SK/ZZ/2005/300/" TargetMode="External"/><Relationship Id="rId37" Type="http://schemas.openxmlformats.org/officeDocument/2006/relationships/hyperlink" Target="https://www.slov-lex.sk/pravne-predpisy/SK/ZZ/2005/300/" TargetMode="External"/><Relationship Id="rId5" Type="http://schemas.openxmlformats.org/officeDocument/2006/relationships/hyperlink" Target="javascript:void(location.href='mailto:'+String.fromCharCode(107,111,110,116,114,111,108,97,64,116,114,110,97,118,97,46,115,107))" TargetMode="External"/><Relationship Id="rId15" Type="http://schemas.openxmlformats.org/officeDocument/2006/relationships/hyperlink" Target="https://www.slov-lex.sk/pravne-predpisy/SK/ZZ/2005/300/" TargetMode="External"/><Relationship Id="rId23" Type="http://schemas.openxmlformats.org/officeDocument/2006/relationships/hyperlink" Target="https://www.slov-lex.sk/pravne-predpisy/SK/ZZ/2005/300/" TargetMode="External"/><Relationship Id="rId28" Type="http://schemas.openxmlformats.org/officeDocument/2006/relationships/hyperlink" Target="https://www.slov-lex.sk/pravne-predpisy/SK/ZZ/2005/300/" TargetMode="External"/><Relationship Id="rId36" Type="http://schemas.openxmlformats.org/officeDocument/2006/relationships/hyperlink" Target="https://www.slov-lex.sk/pravne-predpisy/SK/ZZ/2005/300/" TargetMode="External"/><Relationship Id="rId10" Type="http://schemas.openxmlformats.org/officeDocument/2006/relationships/hyperlink" Target="https://www.slov-lex.sk/pravne-predpisy/SK/ZZ/2005/300/" TargetMode="External"/><Relationship Id="rId19" Type="http://schemas.openxmlformats.org/officeDocument/2006/relationships/hyperlink" Target="https://www.slov-lex.sk/pravne-predpisy/SK/ZZ/2005/300/" TargetMode="External"/><Relationship Id="rId31" Type="http://schemas.openxmlformats.org/officeDocument/2006/relationships/hyperlink" Target="https://www.slov-lex.sk/pravne-predpisy/SK/ZZ/2005/3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300/" TargetMode="External"/><Relationship Id="rId14" Type="http://schemas.openxmlformats.org/officeDocument/2006/relationships/hyperlink" Target="https://www.slov-lex.sk/pravne-predpisy/SK/ZZ/2005/300/" TargetMode="External"/><Relationship Id="rId22" Type="http://schemas.openxmlformats.org/officeDocument/2006/relationships/hyperlink" Target="https://www.slov-lex.sk/pravne-predpisy/SK/ZZ/2005/300/" TargetMode="External"/><Relationship Id="rId27" Type="http://schemas.openxmlformats.org/officeDocument/2006/relationships/hyperlink" Target="https://www.slov-lex.sk/pravne-predpisy/SK/ZZ/2005/300/" TargetMode="External"/><Relationship Id="rId30" Type="http://schemas.openxmlformats.org/officeDocument/2006/relationships/hyperlink" Target="https://www.slov-lex.sk/pravne-predpisy/SK/ZZ/2005/300/" TargetMode="External"/><Relationship Id="rId35" Type="http://schemas.openxmlformats.org/officeDocument/2006/relationships/hyperlink" Target="https://www.slov-lex.sk/pravne-predpisy/SK/ZZ/2005/300/" TargetMode="External"/><Relationship Id="rId8" Type="http://schemas.openxmlformats.org/officeDocument/2006/relationships/hyperlink" Target="https://www.slov-lex.sk/pravne-predpisy/SK/ZZ/2005/30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Monika Černayová</dc:creator>
  <cp:keywords/>
  <dc:description/>
  <cp:lastModifiedBy>Ing. Monika Černayová</cp:lastModifiedBy>
  <cp:revision>8</cp:revision>
  <dcterms:created xsi:type="dcterms:W3CDTF">2023-10-11T11:50:00Z</dcterms:created>
  <dcterms:modified xsi:type="dcterms:W3CDTF">2023-10-16T11:00:00Z</dcterms:modified>
</cp:coreProperties>
</file>